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 w:rsidR="00DE1C87" w:rsidRPr="00D903C0">
        <w:rPr>
          <w:rFonts w:ascii="Tahoma" w:hAnsi="Tahoma" w:cs="Tahoma"/>
          <w:b/>
          <w:szCs w:val="20"/>
        </w:rPr>
        <w:t>Владимирского</w:t>
      </w:r>
      <w:r w:rsidRPr="00D903C0">
        <w:rPr>
          <w:rFonts w:ascii="Tahoma" w:hAnsi="Tahoma" w:cs="Tahoma"/>
          <w:b/>
          <w:szCs w:val="20"/>
        </w:rPr>
        <w:t xml:space="preserve"> 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B350CD">
        <w:rPr>
          <w:rFonts w:ascii="Tahoma" w:hAnsi="Tahoma" w:cs="Tahoma"/>
          <w:szCs w:val="20"/>
        </w:rPr>
        <w:t xml:space="preserve"> 01.01.2025г.</w:t>
      </w:r>
    </w:p>
    <w:p w:rsidR="004F78C4" w:rsidRP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E702A0">
        <w:rPr>
          <w:rFonts w:ascii="Tahoma" w:hAnsi="Tahoma" w:cs="Tahoma"/>
          <w:szCs w:val="20"/>
        </w:rPr>
        <w:t>31.12.2025</w:t>
      </w:r>
      <w:r w:rsidR="006F748E">
        <w:rPr>
          <w:rFonts w:ascii="Tahoma" w:hAnsi="Tahoma" w:cs="Tahoma"/>
          <w:szCs w:val="20"/>
        </w:rPr>
        <w:t xml:space="preserve"> </w:t>
      </w:r>
      <w:r w:rsidR="00B350CD">
        <w:rPr>
          <w:rFonts w:ascii="Tahoma" w:hAnsi="Tahoma" w:cs="Tahoma"/>
          <w:szCs w:val="20"/>
        </w:rPr>
        <w:t>г.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 №1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B350CD" w:rsidRPr="008515C1" w:rsidRDefault="004F78C4" w:rsidP="008515C1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  <w:sectPr w:rsidR="00B350CD" w:rsidRPr="008515C1" w:rsidSect="004F78C4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  <w:r>
        <w:rPr>
          <w:rFonts w:ascii="Tahoma" w:hAnsi="Tahoma" w:cs="Tahoma"/>
          <w:szCs w:val="20"/>
        </w:rPr>
        <w:t xml:space="preserve"> Приложение №2 </w:t>
      </w:r>
      <w:r w:rsidR="008515C1">
        <w:rPr>
          <w:rFonts w:ascii="Tahoma" w:hAnsi="Tahoma" w:cs="Tahoma"/>
          <w:szCs w:val="20"/>
        </w:rPr>
        <w:t>Технологическая программа уборк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50"/>
      </w:tblGrid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Приложение №2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  <w:trHeight w:val="1854"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зависимости от погодных 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547006" w:rsidRDefault="00547006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B350CD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A9D" w:rsidRDefault="00AE5A9D" w:rsidP="000D0EFE">
      <w:pPr>
        <w:spacing w:after="0" w:line="240" w:lineRule="auto"/>
      </w:pPr>
      <w:r>
        <w:separator/>
      </w:r>
    </w:p>
  </w:endnote>
  <w:endnote w:type="continuationSeparator" w:id="0">
    <w:p w:rsidR="00AE5A9D" w:rsidRDefault="00AE5A9D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A9D" w:rsidRDefault="00AE5A9D" w:rsidP="000D0EFE">
      <w:pPr>
        <w:spacing w:after="0" w:line="240" w:lineRule="auto"/>
      </w:pPr>
      <w:r>
        <w:separator/>
      </w:r>
    </w:p>
  </w:footnote>
  <w:footnote w:type="continuationSeparator" w:id="0">
    <w:p w:rsidR="00AE5A9D" w:rsidRDefault="00AE5A9D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83B"/>
    <w:multiLevelType w:val="multilevel"/>
    <w:tmpl w:val="EEA0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8"/>
  </w:num>
  <w:num w:numId="8">
    <w:abstractNumId w:val="23"/>
  </w:num>
  <w:num w:numId="9">
    <w:abstractNumId w:val="12"/>
  </w:num>
  <w:num w:numId="10">
    <w:abstractNumId w:val="17"/>
  </w:num>
  <w:num w:numId="11">
    <w:abstractNumId w:val="6"/>
  </w:num>
  <w:num w:numId="12">
    <w:abstractNumId w:val="11"/>
  </w:num>
  <w:num w:numId="13">
    <w:abstractNumId w:val="21"/>
  </w:num>
  <w:num w:numId="14">
    <w:abstractNumId w:val="20"/>
  </w:num>
  <w:num w:numId="15">
    <w:abstractNumId w:val="4"/>
  </w:num>
  <w:num w:numId="16">
    <w:abstractNumId w:val="24"/>
  </w:num>
  <w:num w:numId="17">
    <w:abstractNumId w:val="22"/>
  </w:num>
  <w:num w:numId="18">
    <w:abstractNumId w:val="5"/>
  </w:num>
  <w:num w:numId="19">
    <w:abstractNumId w:val="2"/>
  </w:num>
  <w:num w:numId="20">
    <w:abstractNumId w:val="16"/>
  </w:num>
  <w:num w:numId="21">
    <w:abstractNumId w:val="13"/>
  </w:num>
  <w:num w:numId="22">
    <w:abstractNumId w:val="3"/>
  </w:num>
  <w:num w:numId="23">
    <w:abstractNumId w:val="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DE"/>
    <w:rsid w:val="000054B2"/>
    <w:rsid w:val="000431AF"/>
    <w:rsid w:val="00051F91"/>
    <w:rsid w:val="00057AC1"/>
    <w:rsid w:val="000638DD"/>
    <w:rsid w:val="0008409A"/>
    <w:rsid w:val="000B4DDF"/>
    <w:rsid w:val="000D0EFE"/>
    <w:rsid w:val="000D33CA"/>
    <w:rsid w:val="000E587C"/>
    <w:rsid w:val="001014C1"/>
    <w:rsid w:val="00112DEF"/>
    <w:rsid w:val="00124C3B"/>
    <w:rsid w:val="00130CFA"/>
    <w:rsid w:val="001351E0"/>
    <w:rsid w:val="0013664B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10FAE"/>
    <w:rsid w:val="00241C21"/>
    <w:rsid w:val="00246543"/>
    <w:rsid w:val="00252584"/>
    <w:rsid w:val="0025587D"/>
    <w:rsid w:val="002615EC"/>
    <w:rsid w:val="00263D8B"/>
    <w:rsid w:val="002651C1"/>
    <w:rsid w:val="002A125B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71CE4"/>
    <w:rsid w:val="0037413F"/>
    <w:rsid w:val="003913A0"/>
    <w:rsid w:val="003B7A78"/>
    <w:rsid w:val="003F53D8"/>
    <w:rsid w:val="003F5CC0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47006"/>
    <w:rsid w:val="005514A0"/>
    <w:rsid w:val="00556E60"/>
    <w:rsid w:val="00561E63"/>
    <w:rsid w:val="00575077"/>
    <w:rsid w:val="00580EB9"/>
    <w:rsid w:val="005A1047"/>
    <w:rsid w:val="005B6754"/>
    <w:rsid w:val="005C48E2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D38F2"/>
    <w:rsid w:val="006D6141"/>
    <w:rsid w:val="006E5060"/>
    <w:rsid w:val="006F0EBC"/>
    <w:rsid w:val="006F748E"/>
    <w:rsid w:val="0072234F"/>
    <w:rsid w:val="0072384E"/>
    <w:rsid w:val="00752FB8"/>
    <w:rsid w:val="00774E39"/>
    <w:rsid w:val="007A046B"/>
    <w:rsid w:val="007A2AAC"/>
    <w:rsid w:val="007B7D11"/>
    <w:rsid w:val="007D3121"/>
    <w:rsid w:val="008515C1"/>
    <w:rsid w:val="00881293"/>
    <w:rsid w:val="008A10F6"/>
    <w:rsid w:val="008B78F5"/>
    <w:rsid w:val="008D1180"/>
    <w:rsid w:val="008E6DF5"/>
    <w:rsid w:val="008F1A2E"/>
    <w:rsid w:val="008F6D29"/>
    <w:rsid w:val="00925EE5"/>
    <w:rsid w:val="009267E8"/>
    <w:rsid w:val="0092694D"/>
    <w:rsid w:val="00955C39"/>
    <w:rsid w:val="00963EDE"/>
    <w:rsid w:val="009A067D"/>
    <w:rsid w:val="009A0CB6"/>
    <w:rsid w:val="009E1A98"/>
    <w:rsid w:val="009E5E72"/>
    <w:rsid w:val="00A1015E"/>
    <w:rsid w:val="00A146A2"/>
    <w:rsid w:val="00A223BB"/>
    <w:rsid w:val="00A4210E"/>
    <w:rsid w:val="00A856B9"/>
    <w:rsid w:val="00A8737E"/>
    <w:rsid w:val="00A93C60"/>
    <w:rsid w:val="00AA3FA9"/>
    <w:rsid w:val="00AA414D"/>
    <w:rsid w:val="00AA4769"/>
    <w:rsid w:val="00AC5336"/>
    <w:rsid w:val="00AD7518"/>
    <w:rsid w:val="00AE5A9D"/>
    <w:rsid w:val="00AE7AEB"/>
    <w:rsid w:val="00B01F37"/>
    <w:rsid w:val="00B144F5"/>
    <w:rsid w:val="00B350CD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E5F37"/>
    <w:rsid w:val="00CF0E4C"/>
    <w:rsid w:val="00D07E8F"/>
    <w:rsid w:val="00D330AC"/>
    <w:rsid w:val="00D45A6C"/>
    <w:rsid w:val="00D54922"/>
    <w:rsid w:val="00D903C0"/>
    <w:rsid w:val="00DB10B7"/>
    <w:rsid w:val="00DD386D"/>
    <w:rsid w:val="00DE1C87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411FF"/>
    <w:rsid w:val="00E542D1"/>
    <w:rsid w:val="00E61267"/>
    <w:rsid w:val="00E702A0"/>
    <w:rsid w:val="00E73267"/>
    <w:rsid w:val="00E8748F"/>
    <w:rsid w:val="00ED54F5"/>
    <w:rsid w:val="00ED575B"/>
    <w:rsid w:val="00ED7B9C"/>
    <w:rsid w:val="00ED7C33"/>
    <w:rsid w:val="00EE3F6B"/>
    <w:rsid w:val="00F01893"/>
    <w:rsid w:val="00F14A1E"/>
    <w:rsid w:val="00F14D37"/>
    <w:rsid w:val="00F2003E"/>
    <w:rsid w:val="00F3650A"/>
    <w:rsid w:val="00F47385"/>
    <w:rsid w:val="00F523C2"/>
    <w:rsid w:val="00F52D4B"/>
    <w:rsid w:val="00F53974"/>
    <w:rsid w:val="00F80B59"/>
    <w:rsid w:val="00F87450"/>
    <w:rsid w:val="00FA0779"/>
    <w:rsid w:val="00FB1F90"/>
    <w:rsid w:val="00FD5E78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A53E4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13</Pages>
  <Words>2880</Words>
  <Characters>16420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Неманова Светлана Владимировна</cp:lastModifiedBy>
  <cp:revision>14</cp:revision>
  <dcterms:created xsi:type="dcterms:W3CDTF">2024-09-10T12:13:00Z</dcterms:created>
  <dcterms:modified xsi:type="dcterms:W3CDTF">2024-09-17T08:33:00Z</dcterms:modified>
</cp:coreProperties>
</file>